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SR2 2024 70 vom 11. Juni 2025</w:t>
      </w:r>
    </w:p>
    <w:p>
      <w:r>
        <w:t>GR Gerichte, 2025-06-11, DE</w:t>
      </w:r>
    </w:p>
    <w:p>
      <w:r>
        <w:rPr>
          <w:b/>
        </w:rPr>
        <w:t xml:space="preserve">Quelle: </w:t>
      </w:r>
      <w:r>
        <w:t>https://mcp.opencaselaw.ch/entscheid/gr_gerichte_SR2 2024 70</w:t>
      </w:r>
    </w:p>
    <w:p>
      <w:r>
        <w:t>FR: GR_GERICHTE SR2 2024 70 du 11 juin 2025</w:t>
      </w:r>
    </w:p>
    <w:p>
      <w:r>
        <w:t>IT: GR_GERICHTE SR2 2024 70 del 11 giugno 2025</w:t>
      </w:r>
    </w:p>
    <w:p>
      <w:pPr>
        <w:pStyle w:val="Heading2"/>
      </w:pPr>
      <w:r>
        <w:t>Regeste</w:t>
      </w:r>
    </w:p>
    <w:p>
      <w:r>
        <w:t>Verfahrenseröffnung / Doppelverfolgungsverbot | Beschwerde gegen StA, Übrige Fälle</w:t>
      </w:r>
    </w:p>
    <w:p>
      <w:pPr>
        <w:pStyle w:val="Heading2"/>
      </w:pPr>
      <w:r>
        <w:t>Erwägungen</w:t>
      </w:r>
    </w:p>
    <w:p>
      <w:r>
        <w:rPr>
          <w:b/>
        </w:rPr>
        <w:t>E. 4</w:t>
      </w:r>
    </w:p>
    <w:p>
      <w:r>
        <w:t>/ 14 eröffnete. Per 1. Januar 2025 erfolgte die Zusammenführung des Kantonsgerichts von Graubünden und des Verwaltungsgerichts Graubünden zum Obergericht des Kantons Graubünden. Das Verfahren SK2 24 70 wird fortan vom Obergericht des Kantons Graubünden unter der Referenz SR2 24 70 weitergeführt, wie den Verfahrensbeteiligten mit separatem Schreiben mitgeteilt wurde. 1.2. Der Anspruch auf einen unparteiischen und unabhängigen Richter wird nebst den Regeln über den Ausstand von Gerichtspersonen (Art. 56 ff. StPO) auch durch die Bestimmungen von Art. 30 Abs. 1 BV und Art. 6 Ziff. 1 EMRK konkretisiert. Vizepräsident Audétat ist zufolge Vorbefassung von sich aus in den Ausstand getreten (Mitwirkung als Präsident der Aufsichtskommission über die Rechtsanwälte des Kantons Graubünden im gegen den Beschwerdeführer geführten Disziplinarverfahren AKR 21 32, welches nach Ansicht des Beschwerdeführers die Sperrwirkung von "ne bis in idem" begründen soll). Der Spruchkörper für das vorliegende Beschwerdeverfahren setzt sich demnach aus dem kammervorsitzenden Oberrichter Nydegger (Vorsitz), Oberrichter Bergamin sowie Oberrichterin Richter-Baldassarre zusammen. 2.1. Die Einleitung des Vorverfahrens ist nicht anfechtbar, es sei denn, die beschuldigte Person mache geltend, es liege eine Verletzung des Verbots der doppelten Strafverfolgung im Sinne von Art. 11 Abs. 1 StPO vor (Art. 300 Abs. 2 StPO). Der Beschwerdeführer rügt mit seiner Beschwerde eine Verletzung des Verbots der doppelten Strafverfolgung (vgl. dazu unten Erwägung 3). Insoweit ist die Einleitung des Vorverfahrens anfechtbar. 2.2.1. Das fristauslösende Moment bei der Beschwerde gestützt auf Art. 300 Abs. 2 StPO ist nicht restlos geklärt. In der Literatur wird darauf hingewiesen, in der Praxis werde die Polizei über die Einrede von "ne bis in idem" im Ermittlungsverfahren nicht entscheiden, sondern dies der Staatsanwaltschaft überlassen. Diese werde prüfen, ob eine Nichtanhandnahmeverfügung zu erlassen sei. Entscheide die Staatsanwaltschaft trotzdem, in Sinne von Art. 309 StPO eine Untersuchung zu eröffnen, sei diese Verfügung mit Beschwerde anzufechten (vgl. LANDSHUT/BOSSHARD, in: Donatsch/Lieber/Summers/Wohlers [Hrsg.], Kommentar zur Schweizerischen Strafprozessordnung [StPO], 3. Aufl. 2020, Art. 300 N. 9; ähnlich auch SCHMID/JOSITSCH, Schweizerische Strafprozessordnung, Praxiskommentar, 3. Aufl. 2018, Art. 300 N. 6). Im Schweizerischen Strafprozessrecht gilt indes der sogenannte materielle Eröffnungsbegriff, d.h. eine Strafuntersuchung gilt als eröffnet, sobald sich die Staatsanwaltschaft mit dem Straffall zu befassen beginnt. Der Eröffnungsverfügung kommt lediglich deklaratorische Wirkung zu (vgl. BGE 141 IV 20 E. 1.1.4). Im Übrigen braucht die</w:t>
      </w:r>
    </w:p>
    <w:p>
      <w:r>
        <w:rPr>
          <w:b/>
        </w:rPr>
        <w:t>E. 4.1</w:t>
      </w:r>
    </w:p>
    <w:p>
      <w:r>
        <w:t>Bei diesem Verfahrensausgang gehen die Kosten des Beschwerdeverfahrens zulasten des Beschwerdeführers (Art. 428 Abs. 1 StPO).</w:t>
      </w:r>
    </w:p>
    <w:p>
      <w:r>
        <w:rPr>
          <w:b/>
        </w:rPr>
        <w:t>E. 5</w:t>
      </w:r>
    </w:p>
    <w:p>
      <w:r>
        <w:t>/ 14 Eröffnungsverfügung den Parteien auch nicht eröffnet zu werden (vgl. Art. 309 Abs. 3 StPO). Es ist daher fraglich, ob (erst) die Eröffnungsverfügung die Frist für die Erhebung einer Beschwerde gestützt auf Art. 300 Abs. 2 StPO auszulösen vermag. Dies gilt insbesondere für den Fall, dass – wie vorliegend – die Eröffnungsverfügung den Parteien nicht eröffnet wird (vgl. StA-act. 1.7). 2.2.2. Der Beschwerdeführer führt in diesem Zusammenhang aus, nachdem die Staatsanwaltschaft auf sein Gesuch vom 16. August 2024 mit einer Reihe von Vorladungen gegen ihn reagiert habe, scheine sie sich ausdrücklich und ohne Angabe von Gründen zu weigern, wie ersucht tätig zu werden und in Richtung der verlangten Nichtanhandnahme des gegen ihn geführten Vorverfahrens verfügen zu wollen. Es liege damit hinsichtlich der Erledigung seines Gesuchs vom 16. August 2024 augenscheinlich in der Form der Vorladung vom 6. Dezember 2024 eine Negativverfügung vor, die ihm am 7. Dezember 2024 mit normaler Post zugegangen sei. Die zehntägige Beschwerdefrist sei damit mit der vorliegenden Beschwerde gewahrt. Nachdem das Verbot der doppelten Strafverfolgung ein Verfahrenshindernis darstelle, das in jedem Verfahrensstadium von Amtes wegen zu berücksichtigen sei, unterliege die vorliegende Beschwerde allerdings keiner Frist (act. A.1, Ziff. 2.3). 2.2.3. Der Beschwerdeführer gibt in seiner Beschwerde selbst an, dass er mit Vorladung vom 21. April 2022 von der Staatsanwaltschaft zur Einvernahme als beschuldigte Person auf den 7. Juli 2022 vorgeladen worden sei (vgl. act. A.1, Ziff. 1.2.1). Eine weitere Einvernahme des Beschwerdeführers vor der Staatsanwaltschaft hat offenbar am 23. Juni 2023 stattgefunden (vgl. act. A.1, Ziff. 1.2.3). Der Beschwerdegegner weist in diesem Zusammenhang darauf hin, dass der Beschwerdeführer diesen wiederholten Vorladungen und Einvernahmen ohne Widerspruch stets Folge geleistet habe. Sein Verhalten sei, nachdem er die Beschwerde vom 16. Dezember 2024 eingereicht habe, angesichts dieser Tatsachen widersprüchlich, rechtlich aber nicht zu schützen (vgl. act. A.3, Ziff. 10 und 12). 2.2.4. Der Beschwerdeführer weist zwar zutreffend darauf hin, dass Verfahrenshindernisse in jedem Verfahrensstadium von Amtes wegen zu berücksichtigen sind (vgl. dazu unten Erwägung 3.1 [in fine]). Ihm kann jedoch nicht gefolgt werden, wenn er daraus ableitet, die vorliegende Beschwerde unterliege überhaupt keiner Frist. So wird denn auch in der Literatur die Auffassung vertreten, im Sinne der Verfahrensökonomie sei die Frage nach der Sperrwirkung von "ne bis in idem", wenn sie bereits zu Beginn eines Strafverfahrens aufgeworfen werde, sofort zu klären (vgl. SCHMID/JOSITSCH, a.a.O., Art. 300 N. 5). Eine verspätete oder</w:t>
      </w:r>
    </w:p>
    <w:p>
      <w:r>
        <w:rPr>
          <w:b/>
        </w:rPr>
        <w:t>E. 6</w:t>
      </w:r>
    </w:p>
    <w:p>
      <w:r>
        <w:t>/ 14 unterlassene Beschwerde gegen die Verfahrenseinleitung wegen der Verletzung von "ne bis in idem" führt im Übrigen zu keinem definitiven Rechtsverlust, da die Rüge auch noch in späteren Verfahrensstadien vorgebracht werden kann (vgl. RIEDO/BONER, in: Niggli/Heer/Wiprächtiger [Hrsg.], Basler Kommentar, Schweizerische Strafprozessordnung, 3. Aufl. 2023, Art. 300 N. 38; SCHMID/JOSITSCH, a.a.O., Art. 300 N. 5). Es ist festzuhalten, dass gemäss Art. 396 StPO die Beschwerde grundsätzlich fristgebunden ist; nur bei Beschwerden wegen Rechtsverweigerung oder Rechtsverzögerung gilt die zehntägige Beschwerdefrist nicht (wobei auch hier das Rechtsmissbrauchsverbot der Beschwerdeerhebung zeitliche Grenzen setzen kann). Der Grund dafür, dass gemäss Art. 396 Abs. 2 StPO Beschwerden wegen Rechtsverweigerung oder Rechtsverzögerung an keine Frist gebunden sind, liegt darin, dass bei Untätigkeit der Behörde kein Anfechtungsobjekt vorliegt, gegen das innert der Frist von zehn Tagen Beschwerde erhoben werden könnte. Der Beginn des Fristenlaufs kann hier gewissermassen nirgends festgemacht werden (vgl. Urteile des Bundesgerichts 7B_86/2023 vom 20. Juni 2024 E. 2.3.3; 1B_303/2020 vom 2. März 2021 E. 4.4). Zwar liegt auch bei Beschwerden gestützt auf Art. 300 Abs. 2 StPO in der Regel kein Anfechtungsobjekt im eigentlichen Sinne vor. So wird einerseits die polizeiliche Ermittlungstätigkeit formlos eingeleitet, andererseits muss die Eröffnungsverfügung der Staatsanwaltschaft – wie bereits erwähnt – den Parteien nicht mitgeteilt werden (vgl. Art. 309 Abs. 3 StPO). Beschwerdefähig sind gemäss Art. 393 Abs. 1 lit. a StPO jedoch nicht nur Verfügungen, sondern auch Verfahrenshandlungen. Wird also die beschuldigte Person etwa mit Ermittlungshandlungen der Staatsanwaltschaft konfrontiert und erhält sie dadurch Kenntnis von einem gegen sie geführten Strafverfahren, so kann der Fristenlauf für eine Beschwerde zwanglos an die entsprechende Verfahrenshandlung bzw. der Kenntnis davon geknüpft werden. Zu beachten ist sodann, dass in Art. 300 Abs. 2 StPO nicht von der Eröffnung der Strafuntersuchung gemäss Art. 308 ff. StPO die Rede ist, sondern von der "Einleitung des Vorverfahrens". Das Vorverfahren besteht indes nicht nur aus der Untersuchung der Staatsanwaltschaft, sondern auch aus dem Ermittlungsverfahren der Polizei (vgl. Art. 299 Abs. 1 StPO). Art. 300 Abs. 2 StPO ist systematisch denn auch vor der Untersuchungseröffnung durch die Staatsanwaltschaft geregelt. Bemerkenswert ist zudem, dass die Eröffnung einer Untersuchung durch die Staatsanwaltschaft in Art. 309 Abs. 3 StPO als nicht anfechtbar erklärt wird, ohne dabei jedoch auf den Vorbehalt des Verbots der doppelten Strafverfolgung bzw. auf Art. 300 Abs. 2 StPO Bezug zu nehmen (vgl. hierzu auch RIEDO/BONER, a.a.O., Art. 300 N. 31). Unter diesen Umständen erscheint fraglich, ob der Beschwerdeführer die Einleitung eines Vorverfahrens gegen ihn nicht schon früher – namentlich im</w:t>
      </w:r>
    </w:p>
    <w:p>
      <w:r>
        <w:rPr>
          <w:b/>
        </w:rPr>
        <w:t>E. 7</w:t>
      </w:r>
    </w:p>
    <w:p>
      <w:r>
        <w:t>/ 14 Zusammenhang mit den gegen ihn erfolgten Vorladungen durch die Staatsanwaltschaft – hätte rügen müssen bzw. ob sich seine Beschwerde als rechtzeitig erweist. Die Frage braucht jedoch nicht abschliessend beurteilt zu werden, da die Beschwerde, selbst wenn darauf eingetreten werden könnte, abzuweisen wäre (vgl. unten Erwägung 3). 3.1. Gemäss Art. 11 Abs. 1 StPO darf eine Person, welche in der Schweiz rechtskräftig verurteilt oder freigesprochen wird, wegen der gleichen Straftat nicht erneut verfolgt werden (Grundsatz "ne bis in idem"). Eine rechtskräftige Einstellungsverfügung kommt einem freisprechenden Endentscheid gleich (Art. 320 Abs. 4 StPO; BGE 143 IV 104 E. 4.2; Urteil des Bundesgerichts 6B_888/2019 vom</w:t>
      </w:r>
    </w:p>
    <w:p>
      <w:r>
        <w:rPr>
          <w:b/>
        </w:rPr>
        <w:t>E. 9</w:t>
      </w:r>
    </w:p>
    <w:p>
      <w:r>
        <w:t>Dezember 2019 E. 1.3.2). Dieses Prinzip ist auch in Art. 4 des Protokolls Nr. 7 zur EMRK (SR 0.101.07) und in Art. 14 Abs. 7 UNO-Pakt II (SR 0.103.2) verankert (Urteil des Bundesgerichts 6B_1101/2017 vom 30. Mai 2018 E. 3.3; vgl. ferner die Hinweise bei TAG, in: Niggli/Heer/Wiprächtiger [Hrsg.], Basler Kommentar, Schweizerische Strafprozessordnung, 3. Aufl. 2023, Art. 11 N. 2 ff.). Art. 11 StPO betrifft das Verbot der doppelten Bestrafung durch die Schweizer Gerichtsbarkeit. Strafverfolgung und Beurteilung durch eine ausländische Strafbehörde stehen also einer Neubeurteilung in der Schweiz grundsätzlich nicht entgegen (TAG, a.a.O., Art.</w:t>
      </w:r>
    </w:p>
    <w:p>
      <w:r>
        <w:rPr>
          <w:b/>
        </w:rPr>
        <w:t>E. 11</w:t>
      </w:r>
    </w:p>
    <w:p>
      <w:r>
        <w:t>/ 14 zu berücksichtigen ist (vgl. TAG, a.a.O., Art. 11 N. 19). Wäre das Doppelbestrafungsverbot durch die Verhängung einer Disziplinarmassnahme hingegen anwendbar (und eine strafrechtliche Sanktionierung somit ausgeschlossen), bestünde die Gefahr, dass das begangene Unrecht nicht hinreichend geahndet werden könnte. 3.3.3. Im Weiteren ist – wie der Beschwerdegegner zutreffend darlegt (vgl. act. A.3, Ziff. 5) – zu berücksichtigen, dass es sich beim Disziplinarverfahren vor einer Aufsichtsbehörde über die Rechtsanwältinnen und Rechtsanwälte nicht um ein kontradiktorisches Verfahren handelt. Partei eines solchen Verfahrens ist der betroffene Rechtsanwalt, nicht jedoch (auch) der Anzeigeerstatter oder mögliche Geschädigte (vgl. POLEDNA, a.a.O., Art. 17 N. 11). Letztere können daher eine Verfahrenseinstellung oder auch eine (als zu mild empfundene) Disziplinierung nicht mit einem Rechtsmittel anfechten. Die Anzeigeerstatter bzw. mögliche Geschädigte verfügen damit nicht ansatzweise über diejenigen Verfahrensrechte, welche ihnen in einem nach der Strafprozessordnung geführten Strafverfahren zustünden. Auch dieser Umstand steht einer Gleichstellung von Disziplinar- und Strafverfahren mit Blick auf den Grundsatz "ne bis in idem" entgegen. Schliesslich darf nicht ausser Acht gelassen werden, dass der Aufsichtsbehörde zur Sachverhaltsfeststellung gemeinhin nicht die in der StPO vorgesehenen Zwangsmassnahmen zur Verfügung stehen. Vor diesem Hintergrund kann deshalb kaum gesagt werden, mit der Durchführung eines Disziplinarverfahrens sei ein vollständiger Strafklageverbrauch im Sinne von Art. 11 Abs. 1 StPO eingetreten. 3.4. Nach dem Ausgeführten steht das gegen den Beschwerdeführer vor der AKR geführte Disziplinarverfahren (AKR 21 32) einer strafrechtlichen Verfolgung nicht entgegen. Die Staatsanwaltschaft hat das Verbot der doppelten Strafverfolgung daher nicht verletzt, wenn sie gegen den Beschwerdeführer eine Strafuntersuchung eingeleitet hat. Die dagegen gerichtete Beschwerde ist daher abzuweisen, soweit darauf überhaupt eingetreten werden kann. Bei diesem Ausgang des Verfahrens erübrigt es sich, über den Antrag des Beschwerdeführers, es seien ihm die Gebühren von insgesamt CHF 350.00 gemäss Ziff. 2 der Verfügung vom 10. Juni 2024 der Präsidentin der Aufsichtskommission über die Rechtsanwältinnen und Rechtsanwälte des Kantons Zug durch die Staatskasse zu erstatten (vgl. Rechtsbegehren Ziff. 4). Darüber wird gegebenenfalls im verfahrensabschliessenden Entscheid zu befinden sein.</w:t>
      </w:r>
    </w:p>
    <w:p>
      <w:r>
        <w:rPr>
          <w:b/>
        </w:rPr>
        <w:t>E. 12</w:t>
      </w:r>
    </w:p>
    <w:p>
      <w:r>
        <w:t>/ 14 Die Kosten werden in Anwendung von Art. 7 Abs. 1 VGS (BR 350.210) auf CHF 2'000.00 festgelegt. 4.2.1. Der Kostenentscheid präjudiziert die Entschädigungsfrage (vgl. Urteil des Bundesgerichts 6B_115/2019 vom 15. Mai 2019 E. 5.2 mit Hinweis auf BGE 137 IV 352 E. 2.4.2). Der Beschwerdeführer hat daher den Beschwerdegegner, der eine Entschädigung beantragt hat, für seine Aufwendungen im Beschwerdeverfahren angemessen zu entschädigen. 4.2.2. Der Beschwerdegegner macht in der eingereichten Honorarnote eine Entschädigung von insgesamt CHF 19'063.05 geltend. Der in Rechnung gestellte Aufwand beläuft sich dabei auf 48 Stunden und 55 Minuten; als Stundenansatz werden CHF 350.00 veranschlagt (vgl. act. G.1). Das ist deutlich übersetzt. Zunächst ist darauf hinzuweisen, dass der Rechtsvertreter des Beschwerdegegners von diesem bereits zu Beginn des Vorverfahrens mandatiert wurde (vgl. StA-act. 7.2.25), er also den Prozessstoff bereits vor dem Beschwerdeverfahren kannte und sich daher nicht erst für das vorliegende Beschwerdeverfahren Aktenkenntnis verschaffen musste. Sodann hat der Rechtsvertreter des Beschwerdegegners im vorliegenden Verfahren lediglich eine Rechtsschrift eingereicht, nämlich die Stellungnahme vom 5. Februar 2025 (act. A.3). Bei der Durchsicht dieser Stellungnahme fällt auf, dass sie Ausführungen enthält, die unnötig sind. So ist namentlich nicht nachvollziehbar, wofür die weitschweifige Rekapitulation des Sachverhalts (vgl. insb. act. A.3, Ziff. 6 ff. [S. 4 – 11]) nötig sein soll. Sofern damit die Begründetheit der gegenüber dem Beschwerdeführer erhobenen (strafrechtlichen) Vorwürfe aufgezeigt werden soll, erweist sich dies als unbehelflich (und der dabei entstandene Aufwand demzufolge nicht als notwendig und angemessen), weil in Bezug auf die Frage, ob für die Eröffnung des Strafverfahrens ein genügender Anfangsverdacht besteht oder nicht, von vornherein keine Beschwerdemöglichkeit besteht (Art. 300 Abs. 2 StPO e contrario; vgl. hierzu auch LANDSHUT/BOSSHARD, a.a.O., Art. 300 N. 11; RIEDO/BONER, a.a.O., Art. 300 N. 25). Mit anderen Worten ging es im vorliegenden Verfahren lediglich um die Frage, ob – mit Blick auf Art. 11 Abs. 1 StPO – das gegen den Beschwerdeführer geführte Disziplinarverfahren (AKR 21 32) einer Strafuntersuchung entgegensteht. Ein Aufwand von 48 Stunden und 55 Minuten, wie ihn der Rechtsvertreter des Beschwerdegegners seiner Honorarnote zugrunde legt, steht offensichtlich in keinem vernünftigen Verhältnis zu dieser Fragestellung. Schliesslich ist das Folgende zu beachten: Das Anwaltshonorar bestimmt sich nach dem Entschädigungstarif des Gerichtsstands (BGE 142 IV 163 E. 3.1; vgl. auch Beschluss des Kantonsgerichts SK2 20 32 vom 25. Januar 2021 E. 3.2). Gemäss</w:t>
      </w:r>
    </w:p>
    <w:p>
      <w:r>
        <w:rPr>
          <w:b/>
        </w:rPr>
        <w:t>E. 13</w:t>
      </w:r>
    </w:p>
    <w:p>
      <w:r>
        <w:t>/ 14 Art. 3 Abs. 1 Satz 1 der Honorarverordnung des Kantons Graubünden (HV; BR 310.250) gilt ein Stundenansatz zwischen CHF 210.00 und CHF 270.00 als üblich. Sofern keine Honorarvereinbarung nachgewiesen wird, ist die Entschädigung praxisgemäss auf Basis des mittleren Stundenansatzes von CHF 240.00 zu berechnen (vgl. u.a. Beschluss des Kantonsgerichts SK2 20 27 vom 1. Juli 2020 E. 1.2 m.w.H.). Der veranschlagte Stundenansatz von CHF 350.00 kann daher nicht gewährt werden. Die Entschädigung des Beschwerdegegners ist nach dem Gesagten pauschal auf CHF 4'000.00 (inkl. Spesen und MWSt.) festzusetzen.</w:t>
      </w:r>
    </w:p>
    <w:p>
      <w:r>
        <w:rPr>
          <w:b/>
        </w:rPr>
        <w:t>E. 14</w:t>
      </w:r>
    </w:p>
    <w:p>
      <w:r>
        <w:t>/ 14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